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BE50AA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635008">
        <w:rPr>
          <w:bCs/>
          <w:noProof w:val="0"/>
          <w:sz w:val="24"/>
          <w:szCs w:val="24"/>
        </w:rPr>
        <w:t>4996</w:t>
      </w:r>
    </w:p>
    <w:p w14:paraId="11776FA6" w14:textId="46D2A76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878C1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6943">
        <w:rPr>
          <w:rFonts w:cs="Arial"/>
          <w:b/>
          <w:bCs/>
          <w:sz w:val="24"/>
          <w:lang w:eastAsia="ja-JP"/>
        </w:rPr>
        <w:t>8</w:t>
      </w:r>
      <w:r>
        <w:rPr>
          <w:rFonts w:cs="Arial"/>
          <w:b/>
          <w:bCs/>
          <w:sz w:val="24"/>
          <w:lang w:eastAsia="ja-JP"/>
        </w:rPr>
        <w:t>.</w:t>
      </w:r>
      <w:r w:rsidR="00BD6943">
        <w:rPr>
          <w:rFonts w:cs="Arial"/>
          <w:b/>
          <w:bCs/>
          <w:sz w:val="24"/>
          <w:lang w:eastAsia="ja-JP"/>
        </w:rPr>
        <w:t>2</w:t>
      </w:r>
      <w:r>
        <w:rPr>
          <w:rFonts w:cs="Arial"/>
          <w:b/>
          <w:bCs/>
          <w:sz w:val="24"/>
          <w:lang w:eastAsia="ja-JP"/>
        </w:rPr>
        <w:t>.</w:t>
      </w:r>
      <w:r w:rsidR="00BD6943">
        <w:rPr>
          <w:rFonts w:cs="Arial"/>
          <w:b/>
          <w:bCs/>
          <w:sz w:val="24"/>
          <w:lang w:eastAsia="ja-JP"/>
        </w:rPr>
        <w:t>3</w:t>
      </w:r>
      <w:r w:rsidR="00635008">
        <w:rPr>
          <w:rFonts w:cs="Arial"/>
          <w:b/>
          <w:bCs/>
          <w:sz w:val="24"/>
          <w:lang w:eastAsia="ja-JP"/>
        </w:rPr>
        <w:t>.1</w:t>
      </w:r>
    </w:p>
    <w:p w14:paraId="73188B46" w14:textId="73A7327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A266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6943">
        <w:rPr>
          <w:rFonts w:ascii="Arial" w:hAnsi="Arial" w:cs="Arial"/>
          <w:b/>
          <w:bCs/>
          <w:sz w:val="24"/>
        </w:rPr>
        <w:t>SN-initiated C</w:t>
      </w:r>
      <w:r w:rsidR="00BB6E19">
        <w:rPr>
          <w:rFonts w:ascii="Arial" w:hAnsi="Arial" w:cs="Arial"/>
          <w:b/>
          <w:bCs/>
          <w:sz w:val="24"/>
        </w:rPr>
        <w:t xml:space="preserve">onditional </w:t>
      </w:r>
      <w:proofErr w:type="spellStart"/>
      <w:r w:rsidR="00BD6943">
        <w:rPr>
          <w:rFonts w:ascii="Arial" w:hAnsi="Arial" w:cs="Arial"/>
          <w:b/>
          <w:bCs/>
          <w:sz w:val="24"/>
        </w:rPr>
        <w:t>P</w:t>
      </w:r>
      <w:r w:rsidR="00BB6E19">
        <w:rPr>
          <w:rFonts w:ascii="Arial" w:hAnsi="Arial" w:cs="Arial"/>
          <w:b/>
          <w:bCs/>
          <w:sz w:val="24"/>
        </w:rPr>
        <w:t>SCell</w:t>
      </w:r>
      <w:proofErr w:type="spellEnd"/>
      <w:r w:rsidR="00BB6E19">
        <w:rPr>
          <w:rFonts w:ascii="Arial" w:hAnsi="Arial" w:cs="Arial"/>
          <w:b/>
          <w:bCs/>
          <w:sz w:val="24"/>
        </w:rPr>
        <w:t xml:space="preserve"> Change</w:t>
      </w:r>
      <w:r w:rsidR="00BD6943">
        <w:rPr>
          <w:rFonts w:ascii="Arial" w:hAnsi="Arial" w:cs="Arial"/>
          <w:b/>
          <w:bCs/>
          <w:sz w:val="24"/>
        </w:rPr>
        <w:t xml:space="preserve"> – </w:t>
      </w:r>
      <w:r w:rsidR="00BB6E19">
        <w:rPr>
          <w:rFonts w:ascii="Arial" w:hAnsi="Arial" w:cs="Arial"/>
          <w:b/>
          <w:bCs/>
          <w:sz w:val="24"/>
        </w:rPr>
        <w:t>clarifications</w:t>
      </w:r>
    </w:p>
    <w:p w14:paraId="1F147C23" w14:textId="6098538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6943" w:rsidRPr="00BD6943">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BD694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8B33CF" w14:textId="2A5C472B" w:rsidR="00CC2D4A" w:rsidRDefault="00CC2D4A" w:rsidP="00ED6D83">
      <w:pPr>
        <w:jc w:val="both"/>
      </w:pPr>
      <w:r>
        <w:t xml:space="preserve">At RAN2#113bis the following agreement on </w:t>
      </w:r>
      <w:r w:rsidR="00000D2C">
        <w:t xml:space="preserve">Conditional </w:t>
      </w:r>
      <w:proofErr w:type="spellStart"/>
      <w:r w:rsidR="00000D2C">
        <w:t>PSCell</w:t>
      </w:r>
      <w:proofErr w:type="spellEnd"/>
      <w:r w:rsidR="00000D2C">
        <w:t xml:space="preserve"> Addition/Change (</w:t>
      </w:r>
      <w:r>
        <w:t>CPAC</w:t>
      </w:r>
      <w:r w:rsidR="00000D2C">
        <w:t>)</w:t>
      </w:r>
      <w:r>
        <w:t xml:space="preserve"> Rel-17 have been made [1]:</w:t>
      </w:r>
    </w:p>
    <w:tbl>
      <w:tblPr>
        <w:tblStyle w:val="TableGrid"/>
        <w:tblW w:w="0" w:type="auto"/>
        <w:tblLook w:val="04A0" w:firstRow="1" w:lastRow="0" w:firstColumn="1" w:lastColumn="0" w:noHBand="0" w:noVBand="1"/>
      </w:tblPr>
      <w:tblGrid>
        <w:gridCol w:w="9631"/>
      </w:tblGrid>
      <w:tr w:rsidR="00CC2D4A" w14:paraId="01293873" w14:textId="77777777" w:rsidTr="00CC2D4A">
        <w:tc>
          <w:tcPr>
            <w:tcW w:w="9631" w:type="dxa"/>
          </w:tcPr>
          <w:p w14:paraId="6A2EF02D" w14:textId="3677D096" w:rsidR="00CC2D4A" w:rsidRDefault="00CC2D4A" w:rsidP="00ED6D83">
            <w:pPr>
              <w:jc w:val="both"/>
            </w:pPr>
            <w:r>
              <w:t xml:space="preserve">=&gt; Source SN provides the candidate cells and it sets the execution condition per candidate cell. Signalling details are FFS (e.g. which messages and steps). </w:t>
            </w:r>
          </w:p>
          <w:p w14:paraId="42B6C8C2" w14:textId="13E6045C" w:rsidR="00CC2D4A" w:rsidRDefault="00CC2D4A" w:rsidP="00ED6D83">
            <w:pPr>
              <w:jc w:val="both"/>
            </w:pPr>
            <w:r>
              <w:t>=&gt; Blind Inter-SN CPC is not precluded (but we will not optimize it)</w:t>
            </w:r>
          </w:p>
          <w:p w14:paraId="54A60C0D" w14:textId="7A41F7A3" w:rsidR="00CC2D4A" w:rsidRDefault="00CC2D4A" w:rsidP="00ED6D83">
            <w:pPr>
              <w:jc w:val="both"/>
            </w:pPr>
            <w:r>
              <w:t>=&gt; FFS whether it is possible for the target SN to come up with alternative candidate cells other than what suggested by the ‎source SN. ‎</w:t>
            </w:r>
          </w:p>
        </w:tc>
      </w:tr>
    </w:tbl>
    <w:p w14:paraId="31EC6E66" w14:textId="47716970" w:rsidR="007F2E08" w:rsidRDefault="00CC2D4A" w:rsidP="00ED6D83">
      <w:pPr>
        <w:jc w:val="both"/>
      </w:pPr>
      <w:r>
        <w:br/>
        <w:t xml:space="preserve">These decisions </w:t>
      </w:r>
      <w:r w:rsidR="003949AE">
        <w:t>were based on the e-mail discussion run prior to RAN2#113bis, report available in [2].</w:t>
      </w:r>
      <w:r w:rsidR="004A154C">
        <w:t xml:space="preserve"> This </w:t>
      </w:r>
      <w:proofErr w:type="spellStart"/>
      <w:r w:rsidR="004A154C">
        <w:t>TDoc</w:t>
      </w:r>
      <w:r w:rsidR="00C34C4F">
        <w:t>’s</w:t>
      </w:r>
      <w:proofErr w:type="spellEnd"/>
      <w:r w:rsidR="004A154C">
        <w:t xml:space="preserve"> aim is to provide the details </w:t>
      </w:r>
      <w:r w:rsidR="00C34C4F">
        <w:t xml:space="preserve">and motivation for adopting the </w:t>
      </w:r>
      <w:r w:rsidR="00705A46">
        <w:t>so-called Solution 2 [2].</w:t>
      </w:r>
    </w:p>
    <w:p w14:paraId="4F547731" w14:textId="3B6930E0" w:rsidR="00A209D6" w:rsidRPr="006E13D1" w:rsidRDefault="00A209D6" w:rsidP="00B7538C">
      <w:pPr>
        <w:pStyle w:val="Heading1"/>
      </w:pPr>
      <w:r w:rsidRPr="006E13D1">
        <w:t>2</w:t>
      </w:r>
      <w:r w:rsidRPr="006E13D1">
        <w:tab/>
      </w:r>
      <w:r w:rsidR="004F2733">
        <w:t>Discussion</w:t>
      </w:r>
    </w:p>
    <w:p w14:paraId="5F01C058" w14:textId="3CFCCE5D" w:rsidR="00A209D6" w:rsidRPr="006E13D1" w:rsidRDefault="00B7538C" w:rsidP="00A209D6">
      <w:pPr>
        <w:pStyle w:val="Heading2"/>
      </w:pPr>
      <w:r>
        <w:t>2</w:t>
      </w:r>
      <w:r w:rsidR="00A209D6" w:rsidRPr="006E13D1">
        <w:t>.1</w:t>
      </w:r>
      <w:r w:rsidR="00A209D6" w:rsidRPr="006E13D1">
        <w:tab/>
      </w:r>
      <w:r w:rsidR="003F5BE2">
        <w:t xml:space="preserve">Source SN configuration update upon </w:t>
      </w:r>
      <w:r w:rsidR="00DA13BE">
        <w:t xml:space="preserve">Conditional </w:t>
      </w:r>
      <w:proofErr w:type="spellStart"/>
      <w:r w:rsidR="00DA13BE">
        <w:t>PSCell</w:t>
      </w:r>
      <w:proofErr w:type="spellEnd"/>
      <w:r w:rsidR="00DA13BE">
        <w:t xml:space="preserve"> Change</w:t>
      </w:r>
      <w:r w:rsidR="003F5BE2">
        <w:t xml:space="preserve"> preparation</w:t>
      </w:r>
    </w:p>
    <w:p w14:paraId="5FB042AA" w14:textId="664D149A" w:rsidR="003F5BE2" w:rsidRDefault="003F5BE2" w:rsidP="00ED6D83">
      <w:pPr>
        <w:jc w:val="both"/>
      </w:pPr>
      <w:r>
        <w:t xml:space="preserve">One of the most confusing discussions during a short handling of [2] was regarding the need to update source SN configuration after the candidate </w:t>
      </w:r>
      <w:proofErr w:type="spellStart"/>
      <w:r>
        <w:t>PSCell</w:t>
      </w:r>
      <w:proofErr w:type="spellEnd"/>
      <w:r>
        <w:t xml:space="preserve"> preparations.</w:t>
      </w:r>
      <w:r w:rsidR="00496FA8">
        <w:t xml:space="preserve"> There are several companies that claim this shall be possible and highly-dependent on which cells are eventually accepted and prepared by the target SNs. One of such aspects which may require the reconfiguration is the need for measurement gaps. Let’s consider the following scenario: </w:t>
      </w:r>
    </w:p>
    <w:p w14:paraId="361C395A" w14:textId="7A5001C7" w:rsidR="00AD07A9" w:rsidRDefault="00AD07A9" w:rsidP="00ED6D83">
      <w:pPr>
        <w:pStyle w:val="ListParagraph"/>
        <w:numPr>
          <w:ilvl w:val="0"/>
          <w:numId w:val="8"/>
        </w:numPr>
        <w:jc w:val="both"/>
      </w:pPr>
      <w:r>
        <w:t>UE is in EN-DC</w:t>
      </w:r>
    </w:p>
    <w:p w14:paraId="6A611B30" w14:textId="5D7B8991" w:rsidR="00AD07A9" w:rsidRDefault="00AD07A9" w:rsidP="00ED6D83">
      <w:pPr>
        <w:pStyle w:val="ListParagraph"/>
        <w:numPr>
          <w:ilvl w:val="0"/>
          <w:numId w:val="8"/>
        </w:numPr>
        <w:jc w:val="both"/>
      </w:pPr>
      <w:r>
        <w:t>UE uses per FR measurement gap</w:t>
      </w:r>
    </w:p>
    <w:p w14:paraId="67597A42" w14:textId="0EB4A900" w:rsidR="00AD07A9" w:rsidRDefault="00AD07A9" w:rsidP="00ED6D83">
      <w:pPr>
        <w:jc w:val="both"/>
      </w:pPr>
      <w:r>
        <w:t xml:space="preserve">The MN would be responsible for setting the FR1 gap, while the SN will set the FR2 gap. In this case, the source SN would have to know which candidate target </w:t>
      </w:r>
      <w:proofErr w:type="spellStart"/>
      <w:r>
        <w:t>PSCells</w:t>
      </w:r>
      <w:proofErr w:type="spellEnd"/>
      <w:r>
        <w:t xml:space="preserve"> have been eventually accepted by the target SN(s)</w:t>
      </w:r>
      <w:r w:rsidR="00504BD8">
        <w:t xml:space="preserve"> to configure the gaps appropriately</w:t>
      </w:r>
      <w:r>
        <w:t>.</w:t>
      </w:r>
      <w:r w:rsidR="00504BD8">
        <w:t xml:space="preserve"> Thus, the MN should inform the source SN in SN Change Confirm which cells have been prepared by the target SN</w:t>
      </w:r>
      <w:r w:rsidR="008A1C2B">
        <w:t xml:space="preserve">. The source SN can then update the measurement configuration, including FR2 gaps and send it to the MN. </w:t>
      </w:r>
    </w:p>
    <w:p w14:paraId="0988C53E" w14:textId="5996FA4B" w:rsidR="00007286" w:rsidRPr="009862EB" w:rsidRDefault="00007286" w:rsidP="00ED6D83">
      <w:pPr>
        <w:jc w:val="both"/>
        <w:rPr>
          <w:b/>
          <w:bCs/>
        </w:rPr>
      </w:pPr>
      <w:r w:rsidRPr="009862EB">
        <w:rPr>
          <w:b/>
          <w:bCs/>
        </w:rPr>
        <w:t>Proposal 1: RAN2 confirms the source SN configuration needs to be updated in EN-DC case when UE uses per FR measurement gap and is to be configured with CPC.</w:t>
      </w:r>
    </w:p>
    <w:p w14:paraId="100CF2E7" w14:textId="7740FAD2" w:rsidR="00007286" w:rsidRDefault="00007286" w:rsidP="00ED6D83">
      <w:pPr>
        <w:jc w:val="both"/>
      </w:pPr>
      <w:r>
        <w:t xml:space="preserve">In the same message the source SN can provide the execution conditions for the candidate </w:t>
      </w:r>
      <w:proofErr w:type="spellStart"/>
      <w:r>
        <w:t>PSCells</w:t>
      </w:r>
      <w:proofErr w:type="spellEnd"/>
      <w:r>
        <w:t xml:space="preserve"> which have been ultimately accepted by target SNs.</w:t>
      </w:r>
      <w:r w:rsidR="00A1229C">
        <w:t xml:space="preserve"> </w:t>
      </w:r>
    </w:p>
    <w:p w14:paraId="7AF498BB" w14:textId="0BFB7AF3" w:rsidR="009862EB" w:rsidRDefault="00390517" w:rsidP="00ED6D83">
      <w:pPr>
        <w:jc w:val="both"/>
        <w:rPr>
          <w:b/>
          <w:bCs/>
        </w:rPr>
      </w:pPr>
      <w:r>
        <w:rPr>
          <w:b/>
          <w:bCs/>
        </w:rPr>
        <w:t xml:space="preserve">Observation 1: </w:t>
      </w:r>
      <w:r w:rsidR="00571450">
        <w:rPr>
          <w:b/>
          <w:bCs/>
        </w:rPr>
        <w:t xml:space="preserve">There is no need </w:t>
      </w:r>
      <w:r w:rsidR="00D312EC">
        <w:rPr>
          <w:b/>
          <w:bCs/>
        </w:rPr>
        <w:t xml:space="preserve">for the network </w:t>
      </w:r>
      <w:r w:rsidR="00571450">
        <w:rPr>
          <w:b/>
          <w:bCs/>
        </w:rPr>
        <w:t xml:space="preserve">to update the measurement </w:t>
      </w:r>
      <w:r>
        <w:rPr>
          <w:b/>
          <w:bCs/>
        </w:rPr>
        <w:t xml:space="preserve">IDs if Solution 2 [2] is adopted, as the UE will receive the </w:t>
      </w:r>
      <w:r w:rsidR="000C6A7F">
        <w:rPr>
          <w:b/>
          <w:bCs/>
        </w:rPr>
        <w:t>CPAC execution conditions</w:t>
      </w:r>
      <w:r>
        <w:rPr>
          <w:b/>
          <w:bCs/>
        </w:rPr>
        <w:t xml:space="preserve"> </w:t>
      </w:r>
      <w:r w:rsidR="00A90317">
        <w:rPr>
          <w:b/>
          <w:bCs/>
        </w:rPr>
        <w:t>only</w:t>
      </w:r>
      <w:r>
        <w:rPr>
          <w:b/>
          <w:bCs/>
        </w:rPr>
        <w:t xml:space="preserve"> for the candidate cells </w:t>
      </w:r>
      <w:r w:rsidR="000C6A7F">
        <w:rPr>
          <w:b/>
          <w:bCs/>
        </w:rPr>
        <w:t>that are prepared by target SN.</w:t>
      </w:r>
    </w:p>
    <w:p w14:paraId="49A874A0" w14:textId="0695E029" w:rsidR="00BC2C42" w:rsidRPr="00BC2C42" w:rsidRDefault="00BC2C42" w:rsidP="00ED6D83">
      <w:pPr>
        <w:jc w:val="both"/>
      </w:pPr>
      <w:r w:rsidRPr="00BC2C42">
        <w:t>We propose the following:</w:t>
      </w:r>
    </w:p>
    <w:p w14:paraId="7A16BF2E" w14:textId="3EC52EC8" w:rsidR="00BC2C42" w:rsidRPr="00446D87" w:rsidRDefault="00BC2C42" w:rsidP="00ED6D83">
      <w:pPr>
        <w:jc w:val="both"/>
        <w:rPr>
          <w:b/>
          <w:bCs/>
        </w:rPr>
      </w:pPr>
      <w:r w:rsidRPr="00446D87">
        <w:rPr>
          <w:b/>
          <w:bCs/>
        </w:rPr>
        <w:lastRenderedPageBreak/>
        <w:t>Proposal 2: The source SN provides the execution conditions to the MN upon obtaining the information which cells have been ultimately prepared by the target SN.</w:t>
      </w:r>
      <w:r>
        <w:rPr>
          <w:b/>
          <w:bCs/>
        </w:rPr>
        <w:t xml:space="preserve"> </w:t>
      </w:r>
    </w:p>
    <w:p w14:paraId="7098F90D" w14:textId="40A72CC5" w:rsidR="00A209D6" w:rsidRPr="006E13D1" w:rsidRDefault="00B7538C" w:rsidP="00A209D6">
      <w:pPr>
        <w:pStyle w:val="Heading2"/>
      </w:pPr>
      <w:r>
        <w:t>2</w:t>
      </w:r>
      <w:r w:rsidR="00A209D6" w:rsidRPr="006E13D1">
        <w:t>.2</w:t>
      </w:r>
      <w:r w:rsidR="00A209D6" w:rsidRPr="006E13D1">
        <w:tab/>
      </w:r>
      <w:r w:rsidR="004B78B5">
        <w:t>Alternative candidates selected by target SN</w:t>
      </w:r>
    </w:p>
    <w:p w14:paraId="37FDA30B" w14:textId="0CB00591" w:rsidR="00436865" w:rsidRDefault="00446D87" w:rsidP="00ED6D83">
      <w:pPr>
        <w:jc w:val="both"/>
      </w:pPr>
      <w:r>
        <w:t xml:space="preserve">Another aspect which raised surprisingly large controversies is whether the target SN can come up </w:t>
      </w:r>
      <w:r w:rsidR="00BF2F33">
        <w:t xml:space="preserve">with other candidate target </w:t>
      </w:r>
      <w:proofErr w:type="spellStart"/>
      <w:r w:rsidR="00BF2F33">
        <w:t>PSCells</w:t>
      </w:r>
      <w:proofErr w:type="spellEnd"/>
      <w:r w:rsidR="00BF2F33">
        <w:t xml:space="preserve"> than those suggested by the source SN, provided via MN. In our understanding it shall be each node’s right to prepare any cell it would actually select, and not only one or more of those enforced by another node.</w:t>
      </w:r>
      <w:r w:rsidR="00436865">
        <w:t xml:space="preserve"> It is ultimately the target node that reserves the resources and is to serve the UE after successful </w:t>
      </w:r>
      <w:proofErr w:type="spellStart"/>
      <w:r w:rsidR="00436865">
        <w:t>PSCell</w:t>
      </w:r>
      <w:proofErr w:type="spellEnd"/>
      <w:r w:rsidR="00436865">
        <w:t xml:space="preserve"> change execution. One can easily find some scenarios where this would be </w:t>
      </w:r>
      <w:r w:rsidR="006C1A9B">
        <w:t xml:space="preserve">in particular </w:t>
      </w:r>
      <w:r w:rsidR="00436865">
        <w:t xml:space="preserve">justified. For example, the UE might have measured </w:t>
      </w:r>
      <w:r w:rsidR="000753D1">
        <w:t xml:space="preserve">cells </w:t>
      </w:r>
      <w:r w:rsidR="00436865">
        <w:t>just at frequency f1, while the target SN has another cell on f2, which is more suitable from the load balancing point of view</w:t>
      </w:r>
      <w:r w:rsidR="002B5430">
        <w:t>, even if slightly worse from the radio measurement perspective</w:t>
      </w:r>
      <w:r w:rsidR="006C1A9B">
        <w:t xml:space="preserve"> (see the discussion and figure below)</w:t>
      </w:r>
      <w:r w:rsidR="002B5430">
        <w:t>. If the target SN is constrained to choose from ‘best’ cells only, selected by the source SN, then target SN will not be able to choose the cell it finds the most optimal.</w:t>
      </w:r>
      <w:r w:rsidR="00436865">
        <w:t xml:space="preserve"> </w:t>
      </w:r>
    </w:p>
    <w:p w14:paraId="63613620" w14:textId="29EA0CB0" w:rsidR="002B5430" w:rsidRPr="002B5430" w:rsidRDefault="002B5430" w:rsidP="00ED6D83">
      <w:pPr>
        <w:jc w:val="both"/>
        <w:rPr>
          <w:b/>
          <w:bCs/>
        </w:rPr>
      </w:pPr>
      <w:r w:rsidRPr="002B5430">
        <w:rPr>
          <w:b/>
          <w:bCs/>
        </w:rPr>
        <w:t xml:space="preserve">Observation </w:t>
      </w:r>
      <w:r w:rsidR="00390517">
        <w:rPr>
          <w:b/>
          <w:bCs/>
        </w:rPr>
        <w:t>2</w:t>
      </w:r>
      <w:r w:rsidRPr="002B5430">
        <w:rPr>
          <w:b/>
          <w:bCs/>
        </w:rPr>
        <w:t>: The target SN may consider more factors than just raw measurements (available at the source SN)</w:t>
      </w:r>
      <w:r>
        <w:rPr>
          <w:b/>
          <w:bCs/>
        </w:rPr>
        <w:t>,</w:t>
      </w:r>
      <w:r w:rsidRPr="002B5430">
        <w:rPr>
          <w:b/>
          <w:bCs/>
        </w:rPr>
        <w:t xml:space="preserve"> such as admission control, load information, etc.</w:t>
      </w:r>
      <w:r>
        <w:rPr>
          <w:b/>
          <w:bCs/>
        </w:rPr>
        <w:t xml:space="preserve"> </w:t>
      </w:r>
      <w:r w:rsidRPr="002B5430">
        <w:rPr>
          <w:b/>
          <w:bCs/>
        </w:rPr>
        <w:t>in selecting the final candidate target cells</w:t>
      </w:r>
      <w:r w:rsidR="00000D2C">
        <w:rPr>
          <w:b/>
          <w:bCs/>
        </w:rPr>
        <w:t>.</w:t>
      </w:r>
    </w:p>
    <w:p w14:paraId="7C22C1B5" w14:textId="5F0FB16F" w:rsidR="00446D87" w:rsidRDefault="002B5430" w:rsidP="00ED6D83">
      <w:pPr>
        <w:jc w:val="both"/>
      </w:pPr>
      <w:r>
        <w:t>It is also not a correct statement to claim RAN3 has already made some related decisions on how this message exchange looks like and what the target SN can do. In our understanding there are still two options on RAN3 table:</w:t>
      </w:r>
    </w:p>
    <w:p w14:paraId="7816CE55" w14:textId="4CDFDE0B" w:rsidR="002B5430" w:rsidRDefault="002B5430" w:rsidP="00ED6D83">
      <w:pPr>
        <w:pStyle w:val="ListParagraph"/>
        <w:numPr>
          <w:ilvl w:val="0"/>
          <w:numId w:val="9"/>
        </w:numPr>
        <w:jc w:val="both"/>
      </w:pPr>
      <w:r>
        <w:t xml:space="preserve">Option 1: </w:t>
      </w:r>
      <w:r w:rsidRPr="002B5430">
        <w:t xml:space="preserve">Source SN/MN forwards the measurement report and the target SN selects the </w:t>
      </w:r>
      <w:proofErr w:type="spellStart"/>
      <w:r w:rsidRPr="002B5430">
        <w:t>PSCells</w:t>
      </w:r>
      <w:proofErr w:type="spellEnd"/>
      <w:r w:rsidRPr="002B5430">
        <w:t xml:space="preserve"> to be prepared</w:t>
      </w:r>
    </w:p>
    <w:p w14:paraId="435622C3" w14:textId="68EE2226" w:rsidR="002B5430" w:rsidRDefault="002B5430" w:rsidP="00ED6D83">
      <w:pPr>
        <w:pStyle w:val="ListParagraph"/>
        <w:numPr>
          <w:ilvl w:val="0"/>
          <w:numId w:val="9"/>
        </w:numPr>
        <w:jc w:val="both"/>
      </w:pPr>
      <w:r>
        <w:t xml:space="preserve">Option 2: </w:t>
      </w:r>
      <w:r w:rsidRPr="002B5430">
        <w:t xml:space="preserve">Source SN/MN suggests a list of </w:t>
      </w:r>
      <w:proofErr w:type="spellStart"/>
      <w:r w:rsidRPr="002B5430">
        <w:t>PSCells</w:t>
      </w:r>
      <w:proofErr w:type="spellEnd"/>
      <w:r w:rsidRPr="002B5430">
        <w:t xml:space="preserve"> to be prepared by the target SN and target SN should select </w:t>
      </w:r>
      <w:r w:rsidR="00340F83">
        <w:t>from</w:t>
      </w:r>
      <w:r w:rsidRPr="002B5430">
        <w:t xml:space="preserve"> this suggested list</w:t>
      </w:r>
    </w:p>
    <w:p w14:paraId="485D86CF" w14:textId="77777777" w:rsidR="00206BFB" w:rsidRDefault="00340F83" w:rsidP="00ED6D83">
      <w:pPr>
        <w:jc w:val="both"/>
      </w:pPr>
      <w:r>
        <w:t>As argued above, we see no point in forcing the target SN to select from the suggested list. That would be an unnecessary network restriction and may not be a favourable solution, especially in inter-vendor cases.</w:t>
      </w:r>
      <w:r w:rsidR="005139AA">
        <w:t xml:space="preserve"> </w:t>
      </w:r>
    </w:p>
    <w:p w14:paraId="576E4808" w14:textId="06647DC9" w:rsidR="00206BFB" w:rsidRPr="006C3D35" w:rsidRDefault="00206BFB" w:rsidP="00ED6D83">
      <w:pPr>
        <w:jc w:val="both"/>
        <w:rPr>
          <w:b/>
          <w:bCs/>
        </w:rPr>
      </w:pPr>
      <w:r w:rsidRPr="002C0CB4">
        <w:rPr>
          <w:b/>
          <w:bCs/>
        </w:rPr>
        <w:t xml:space="preserve">Observation </w:t>
      </w:r>
      <w:r>
        <w:rPr>
          <w:b/>
          <w:bCs/>
        </w:rPr>
        <w:t>3</w:t>
      </w:r>
      <w:r w:rsidRPr="002C0CB4">
        <w:rPr>
          <w:b/>
          <w:bCs/>
        </w:rPr>
        <w:t xml:space="preserve">: Forcing the target SN to select from the list of suggested </w:t>
      </w:r>
      <w:proofErr w:type="spellStart"/>
      <w:r w:rsidRPr="002C0CB4">
        <w:rPr>
          <w:b/>
          <w:bCs/>
        </w:rPr>
        <w:t>PSCells</w:t>
      </w:r>
      <w:proofErr w:type="spellEnd"/>
      <w:r w:rsidRPr="002C0CB4">
        <w:rPr>
          <w:b/>
          <w:bCs/>
        </w:rPr>
        <w:t xml:space="preserve"> only may be especially problematic in inter-vendor deployment scenarios.</w:t>
      </w:r>
    </w:p>
    <w:p w14:paraId="546C7DF0" w14:textId="6C781C75" w:rsidR="00340F83" w:rsidRDefault="005139AA" w:rsidP="00ED6D83">
      <w:pPr>
        <w:jc w:val="both"/>
      </w:pPr>
      <w:r>
        <w:t xml:space="preserve">As a further example, consider the following </w:t>
      </w:r>
      <w:r w:rsidR="00C66E8B">
        <w:t xml:space="preserve">SN </w:t>
      </w:r>
      <w:r>
        <w:t xml:space="preserve">deployment scenario (in </w:t>
      </w:r>
      <w:r w:rsidR="00376668">
        <w:fldChar w:fldCharType="begin"/>
      </w:r>
      <w:r w:rsidR="00376668">
        <w:instrText xml:space="preserve"> REF _Ref70683857 \h </w:instrText>
      </w:r>
      <w:r w:rsidR="00376668">
        <w:fldChar w:fldCharType="separate"/>
      </w:r>
      <w:r w:rsidR="00376668" w:rsidRPr="006C3D35">
        <w:rPr>
          <w:b/>
          <w:bCs/>
        </w:rPr>
        <w:t xml:space="preserve">Figure </w:t>
      </w:r>
      <w:r w:rsidR="00376668" w:rsidRPr="006C3D35">
        <w:rPr>
          <w:b/>
          <w:bCs/>
          <w:noProof/>
        </w:rPr>
        <w:t>1</w:t>
      </w:r>
      <w:r w:rsidR="00376668">
        <w:fldChar w:fldCharType="end"/>
      </w:r>
      <w:r w:rsidR="00376668">
        <w:t xml:space="preserve"> </w:t>
      </w:r>
      <w:r w:rsidR="00A20EFA">
        <w:t>below</w:t>
      </w:r>
      <w:r>
        <w:t>)</w:t>
      </w:r>
      <w:r w:rsidR="00B305E7">
        <w:t>.</w:t>
      </w:r>
      <w:r>
        <w:t xml:space="preserve"> Due to UEs only supporting smaller carrier sizes, the full operator carrier bandwidth </w:t>
      </w:r>
      <w:r w:rsidR="00C66E8B">
        <w:t xml:space="preserve">for the SN </w:t>
      </w:r>
      <w:r>
        <w:t>has been split to 5 pieces</w:t>
      </w:r>
      <w:r w:rsidR="00B305E7">
        <w:t>.</w:t>
      </w:r>
      <w:r>
        <w:t xml:space="preserve"> Some are used for initial access and some only </w:t>
      </w:r>
      <w:r w:rsidR="00206BFB">
        <w:t>for</w:t>
      </w:r>
      <w:r>
        <w:t xml:space="preserve"> capacity boosting. Since the capacity carriers are only used as </w:t>
      </w:r>
      <w:proofErr w:type="spellStart"/>
      <w:r>
        <w:t>SCells</w:t>
      </w:r>
      <w:proofErr w:type="spellEnd"/>
      <w:r>
        <w:t>, no SSB is used</w:t>
      </w:r>
      <w:r w:rsidR="00206BFB">
        <w:t xml:space="preserve"> there</w:t>
      </w:r>
      <w:r>
        <w:t xml:space="preserve"> and they utilize CSI-RS that are linked to the SSBs of the intra-band carriers. This inherently</w:t>
      </w:r>
      <w:r w:rsidR="00C66E8B">
        <w:t xml:space="preserve"> causes uneven load as some UEs use the carriers with SSB to access the cell, whereas the other carriers are used for boosting throughput. In such a case, it would be sufficient for UE to measure one of the SSBs (at least for RSRP</w:t>
      </w:r>
      <w:r w:rsidR="00CE71D8">
        <w:t>)</w:t>
      </w:r>
      <w:r w:rsidR="00C66E8B">
        <w:t xml:space="preserve">, but the target SN could choose any of the carriers 1-5 for </w:t>
      </w:r>
      <w:proofErr w:type="spellStart"/>
      <w:r w:rsidR="00C66E8B">
        <w:t>PSCell</w:t>
      </w:r>
      <w:proofErr w:type="spellEnd"/>
      <w:r w:rsidR="00C66E8B">
        <w:t xml:space="preserve"> based </w:t>
      </w:r>
      <w:r w:rsidR="00206BFB">
        <w:t xml:space="preserve">e.g. </w:t>
      </w:r>
      <w:r w:rsidR="00C66E8B">
        <w:t>on the current load</w:t>
      </w:r>
      <w:r w:rsidR="00CE71D8">
        <w:t xml:space="preserve"> (and network can adjust the RSRQ measurements base</w:t>
      </w:r>
      <w:r w:rsidR="00206BFB">
        <w:t>d</w:t>
      </w:r>
      <w:r w:rsidR="00CE71D8">
        <w:t xml:space="preserve"> on the load level). </w:t>
      </w:r>
      <w:r w:rsidR="006B13BA">
        <w:t xml:space="preserve">As the network deployment does not change depending on the used mechanisms, this would either require more measurements at UE side (which could mean slower measurement rate) to cover all the carriers, or not utilizing the </w:t>
      </w:r>
      <w:r w:rsidR="00A20EFA">
        <w:t xml:space="preserve">capacity carriers for </w:t>
      </w:r>
      <w:proofErr w:type="spellStart"/>
      <w:r w:rsidR="00A20EFA">
        <w:t>PSCell</w:t>
      </w:r>
      <w:proofErr w:type="spellEnd"/>
      <w:r w:rsidR="00A20EFA">
        <w:t xml:space="preserve"> at all. Neither alternative is attracti</w:t>
      </w:r>
      <w:r w:rsidR="00206BFB">
        <w:t>v</w:t>
      </w:r>
      <w:r w:rsidR="00A20EFA">
        <w:t xml:space="preserve">e as the deployment decision will not change because a new feature is introduced. </w:t>
      </w:r>
    </w:p>
    <w:p w14:paraId="479B37D6" w14:textId="27843D0F" w:rsidR="005139AA" w:rsidRDefault="00932389" w:rsidP="006C3D35">
      <w:pPr>
        <w:keepNext/>
        <w:jc w:val="center"/>
      </w:pPr>
      <w:r>
        <w:rPr>
          <w:noProof/>
        </w:rPr>
        <w:lastRenderedPageBreak/>
        <w:drawing>
          <wp:inline distT="0" distB="0" distL="0" distR="0" wp14:anchorId="15A71A18" wp14:editId="45C167A3">
            <wp:extent cx="5165767" cy="31564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9587" cy="3164863"/>
                    </a:xfrm>
                    <a:prstGeom prst="rect">
                      <a:avLst/>
                    </a:prstGeom>
                    <a:noFill/>
                  </pic:spPr>
                </pic:pic>
              </a:graphicData>
            </a:graphic>
          </wp:inline>
        </w:drawing>
      </w:r>
    </w:p>
    <w:p w14:paraId="3D08E551" w14:textId="48D1CE05" w:rsidR="00315678" w:rsidRPr="006C3D35" w:rsidRDefault="00315678" w:rsidP="006C3D35">
      <w:pPr>
        <w:pStyle w:val="Caption"/>
        <w:jc w:val="center"/>
        <w:rPr>
          <w:b/>
          <w:bCs/>
        </w:rPr>
      </w:pPr>
      <w:bookmarkStart w:id="0" w:name="_Ref70683857"/>
      <w:r w:rsidRPr="006C3D35">
        <w:rPr>
          <w:b/>
          <w:bCs/>
          <w:i w:val="0"/>
          <w:iCs w:val="0"/>
        </w:rPr>
        <w:t xml:space="preserve">Figure </w:t>
      </w:r>
      <w:r w:rsidRPr="006C3D35">
        <w:rPr>
          <w:b/>
          <w:bCs/>
          <w:i w:val="0"/>
          <w:iCs w:val="0"/>
        </w:rPr>
        <w:fldChar w:fldCharType="begin"/>
      </w:r>
      <w:r w:rsidRPr="006C3D35">
        <w:rPr>
          <w:b/>
          <w:bCs/>
          <w:i w:val="0"/>
          <w:iCs w:val="0"/>
        </w:rPr>
        <w:instrText xml:space="preserve"> SEQ Figure \* ARABIC </w:instrText>
      </w:r>
      <w:r w:rsidRPr="006C3D35">
        <w:rPr>
          <w:b/>
          <w:bCs/>
          <w:i w:val="0"/>
          <w:iCs w:val="0"/>
        </w:rPr>
        <w:fldChar w:fldCharType="separate"/>
      </w:r>
      <w:r w:rsidRPr="006C3D35">
        <w:rPr>
          <w:b/>
          <w:bCs/>
          <w:i w:val="0"/>
          <w:iCs w:val="0"/>
          <w:noProof/>
        </w:rPr>
        <w:t>1</w:t>
      </w:r>
      <w:r w:rsidRPr="006C3D35">
        <w:rPr>
          <w:b/>
          <w:bCs/>
          <w:i w:val="0"/>
          <w:iCs w:val="0"/>
        </w:rPr>
        <w:fldChar w:fldCharType="end"/>
      </w:r>
      <w:bookmarkEnd w:id="0"/>
      <w:r w:rsidRPr="006C3D35">
        <w:rPr>
          <w:b/>
          <w:bCs/>
          <w:i w:val="0"/>
          <w:iCs w:val="0"/>
        </w:rPr>
        <w:t xml:space="preserve">. </w:t>
      </w:r>
      <w:r w:rsidR="00376668" w:rsidRPr="006C3D35">
        <w:rPr>
          <w:b/>
          <w:bCs/>
          <w:i w:val="0"/>
          <w:iCs w:val="0"/>
        </w:rPr>
        <w:t>Deployment scenario for SN with c</w:t>
      </w:r>
      <w:r w:rsidRPr="006C3D35">
        <w:rPr>
          <w:b/>
          <w:bCs/>
          <w:i w:val="0"/>
          <w:iCs w:val="0"/>
        </w:rPr>
        <w:t xml:space="preserve">ollocated intra-band contiguous </w:t>
      </w:r>
      <w:r w:rsidR="00376668" w:rsidRPr="006C3D35">
        <w:rPr>
          <w:b/>
          <w:bCs/>
          <w:i w:val="0"/>
          <w:iCs w:val="0"/>
        </w:rPr>
        <w:t>spectrum</w:t>
      </w:r>
    </w:p>
    <w:p w14:paraId="2D2B1207" w14:textId="678B5C39" w:rsidR="00C5365D" w:rsidRPr="006C3D35" w:rsidRDefault="00C5365D" w:rsidP="00ED6D83">
      <w:pPr>
        <w:jc w:val="both"/>
      </w:pPr>
      <w:r w:rsidRPr="002C0CB4">
        <w:rPr>
          <w:b/>
          <w:bCs/>
        </w:rPr>
        <w:t xml:space="preserve">Observation </w:t>
      </w:r>
      <w:r>
        <w:rPr>
          <w:b/>
          <w:bCs/>
        </w:rPr>
        <w:t>4</w:t>
      </w:r>
      <w:r w:rsidRPr="002C0CB4">
        <w:rPr>
          <w:b/>
          <w:bCs/>
        </w:rPr>
        <w:t xml:space="preserve">: </w:t>
      </w:r>
      <w:r w:rsidR="00B17536">
        <w:rPr>
          <w:b/>
          <w:bCs/>
        </w:rPr>
        <w:t xml:space="preserve">Forcing the target SN to select from the list of suggested </w:t>
      </w:r>
      <w:proofErr w:type="spellStart"/>
      <w:r w:rsidR="00B17536">
        <w:rPr>
          <w:b/>
          <w:bCs/>
        </w:rPr>
        <w:t>PSCells</w:t>
      </w:r>
      <w:proofErr w:type="spellEnd"/>
      <w:r w:rsidR="00B17536">
        <w:rPr>
          <w:b/>
          <w:bCs/>
        </w:rPr>
        <w:t xml:space="preserve"> is not optimal in intra-band contiguous spectrum deployment, where the UE might have been configured to measure just selected carriers</w:t>
      </w:r>
      <w:r w:rsidR="00896915">
        <w:rPr>
          <w:b/>
          <w:bCs/>
        </w:rPr>
        <w:t xml:space="preserve"> while other are relevant from the load perspective</w:t>
      </w:r>
      <w:r w:rsidR="00B17536">
        <w:rPr>
          <w:b/>
          <w:bCs/>
        </w:rPr>
        <w:t>.</w:t>
      </w:r>
    </w:p>
    <w:p w14:paraId="24740AE7" w14:textId="50479A7C" w:rsidR="00C5365D" w:rsidRPr="006C3D35" w:rsidRDefault="00B17536" w:rsidP="00ED6D83">
      <w:pPr>
        <w:jc w:val="both"/>
      </w:pPr>
      <w:r>
        <w:t>Based on the above</w:t>
      </w:r>
      <w:r w:rsidR="00C5365D" w:rsidRPr="006C3D35">
        <w:t>, we propose the following:</w:t>
      </w:r>
    </w:p>
    <w:p w14:paraId="4319DF1E" w14:textId="3E3760B3" w:rsidR="00340F83" w:rsidRPr="00DA13BE" w:rsidRDefault="00340F83" w:rsidP="00ED6D83">
      <w:pPr>
        <w:jc w:val="both"/>
        <w:rPr>
          <w:b/>
          <w:bCs/>
        </w:rPr>
      </w:pPr>
      <w:r w:rsidRPr="00340F83">
        <w:rPr>
          <w:b/>
          <w:bCs/>
        </w:rPr>
        <w:t xml:space="preserve">Proposal 3: Target SN is allowed to select any candidate target </w:t>
      </w:r>
      <w:proofErr w:type="spellStart"/>
      <w:r w:rsidRPr="00340F83">
        <w:rPr>
          <w:b/>
          <w:bCs/>
        </w:rPr>
        <w:t>PSCell</w:t>
      </w:r>
      <w:proofErr w:type="spellEnd"/>
      <w:r w:rsidRPr="00340F83">
        <w:rPr>
          <w:b/>
          <w:bCs/>
        </w:rPr>
        <w:t xml:space="preserve"> for CPC, i.e. is not forced to choose from the list of cells </w:t>
      </w:r>
      <w:r w:rsidR="00000D2C">
        <w:rPr>
          <w:b/>
          <w:bCs/>
        </w:rPr>
        <w:t>and/</w:t>
      </w:r>
      <w:r w:rsidRPr="00340F83">
        <w:rPr>
          <w:b/>
          <w:bCs/>
        </w:rPr>
        <w:t>or measurements provided by the source SN/MN</w:t>
      </w:r>
      <w:r w:rsidR="00000D2C">
        <w:rPr>
          <w:b/>
          <w:bCs/>
        </w:rPr>
        <w:t>.</w:t>
      </w:r>
    </w:p>
    <w:p w14:paraId="1B5BC197" w14:textId="22F6141C" w:rsidR="00000D2C" w:rsidRDefault="00000D2C" w:rsidP="00000D2C">
      <w:pPr>
        <w:pStyle w:val="Heading2"/>
      </w:pPr>
      <w:r>
        <w:t xml:space="preserve">2.3 </w:t>
      </w:r>
      <w:r w:rsidR="00E3447D">
        <w:tab/>
      </w:r>
      <w:r>
        <w:t>Blind inter-SN CPC</w:t>
      </w:r>
    </w:p>
    <w:p w14:paraId="454BDBE8" w14:textId="0B68DD2C" w:rsidR="00BB6E19" w:rsidRDefault="00000D2C" w:rsidP="00BB6E19">
      <w:pPr>
        <w:jc w:val="both"/>
      </w:pPr>
      <w:r>
        <w:t>At RAN2#113bis</w:t>
      </w:r>
      <w:r w:rsidR="00F45183">
        <w:t>,</w:t>
      </w:r>
      <w:r>
        <w:t xml:space="preserve"> it was agreed that blind inter-SN CPC is not forbidden, but no specification steps are taken to make that scheme more workable. That is fine, as long as there are also no steps pursued to make that not feasible. Blind inter-SN CPC could be a network’s </w:t>
      </w:r>
      <w:r w:rsidR="00DA13BE">
        <w:t>privilege</w:t>
      </w:r>
      <w:r>
        <w:t xml:space="preserve">, even if not used too often in practice, as in </w:t>
      </w:r>
      <w:r w:rsidR="00DA13BE">
        <w:t xml:space="preserve">the </w:t>
      </w:r>
      <w:r>
        <w:t xml:space="preserve">majority of cases the inter-SN CPC will be based on </w:t>
      </w:r>
      <w:r w:rsidR="00DA13BE">
        <w:t xml:space="preserve">radio measurements. However, if target SN is not allowed to choose whichever cell it would like to prepare for CPC, but is restricted by what source SN provided, this </w:t>
      </w:r>
      <w:r w:rsidR="00D17ED6">
        <w:t xml:space="preserve">somewhat precludes the </w:t>
      </w:r>
      <w:r w:rsidR="00BB6E19">
        <w:t>full use of blind inter-SN CPC.</w:t>
      </w:r>
      <w:r w:rsidR="00EA124D">
        <w:t xml:space="preserve"> Herein, it is not</w:t>
      </w:r>
      <w:r w:rsidR="00001E43">
        <w:t xml:space="preserve"> justified</w:t>
      </w:r>
      <w:r w:rsidR="00EA124D">
        <w:t xml:space="preserve"> why the source SN (without </w:t>
      </w:r>
      <w:r w:rsidR="00FA39A0">
        <w:t xml:space="preserve">radio </w:t>
      </w:r>
      <w:r w:rsidR="00EA124D">
        <w:t>measurements) should be in better position than target SN to suggest blindly</w:t>
      </w:r>
      <w:r w:rsidR="00736DD6">
        <w:t xml:space="preserve"> the target</w:t>
      </w:r>
      <w:r w:rsidR="00EA124D">
        <w:t xml:space="preserve"> </w:t>
      </w:r>
      <w:proofErr w:type="spellStart"/>
      <w:r w:rsidR="00EA124D">
        <w:t>PSCells</w:t>
      </w:r>
      <w:proofErr w:type="spellEnd"/>
      <w:r w:rsidR="00EA124D">
        <w:t xml:space="preserve"> to be prepared.</w:t>
      </w:r>
    </w:p>
    <w:p w14:paraId="1436CC87" w14:textId="3CBAA4C0" w:rsidR="00000D2C" w:rsidRPr="00BB6E19" w:rsidRDefault="00BB6E19" w:rsidP="00BB6E19">
      <w:pPr>
        <w:jc w:val="both"/>
        <w:rPr>
          <w:b/>
          <w:bCs/>
        </w:rPr>
      </w:pPr>
      <w:r w:rsidRPr="00BB6E19">
        <w:rPr>
          <w:b/>
          <w:bCs/>
        </w:rPr>
        <w:t xml:space="preserve">Observation </w:t>
      </w:r>
      <w:r w:rsidR="00F50553">
        <w:rPr>
          <w:b/>
          <w:bCs/>
        </w:rPr>
        <w:t>5</w:t>
      </w:r>
      <w:r w:rsidRPr="00BB6E19">
        <w:rPr>
          <w:b/>
          <w:bCs/>
        </w:rPr>
        <w:t xml:space="preserve">: Limiting the choice of the candidate target </w:t>
      </w:r>
      <w:proofErr w:type="spellStart"/>
      <w:r w:rsidRPr="00BB6E19">
        <w:rPr>
          <w:b/>
          <w:bCs/>
        </w:rPr>
        <w:t>PSCells</w:t>
      </w:r>
      <w:proofErr w:type="spellEnd"/>
      <w:r w:rsidRPr="00BB6E19">
        <w:rPr>
          <w:b/>
          <w:bCs/>
        </w:rPr>
        <w:t xml:space="preserve"> to</w:t>
      </w:r>
      <w:r w:rsidR="00896915">
        <w:rPr>
          <w:b/>
          <w:bCs/>
        </w:rPr>
        <w:t xml:space="preserve"> the</w:t>
      </w:r>
      <w:r w:rsidRPr="00BB6E19">
        <w:rPr>
          <w:b/>
          <w:bCs/>
        </w:rPr>
        <w:t xml:space="preserve"> list of cells provided by the source SN/MN partially precludes the use of blind inter-SN CPC and can be against the RAN2#113bis agreement.</w:t>
      </w:r>
      <w:r w:rsidR="00DA13BE" w:rsidRPr="00BB6E19">
        <w:rPr>
          <w:b/>
          <w:bCs/>
        </w:rPr>
        <w:t xml:space="preserve"> </w:t>
      </w:r>
      <w:r w:rsidR="00000D2C" w:rsidRPr="00BB6E19">
        <w:rPr>
          <w:b/>
          <w:bCs/>
        </w:rPr>
        <w:t xml:space="preserve">  </w:t>
      </w:r>
    </w:p>
    <w:p w14:paraId="5FF2457F" w14:textId="1035A497" w:rsidR="00A209D6" w:rsidRPr="006E13D1" w:rsidRDefault="00F44B93" w:rsidP="00A209D6">
      <w:pPr>
        <w:pStyle w:val="Heading1"/>
      </w:pPr>
      <w:r>
        <w:t>3</w:t>
      </w:r>
      <w:r w:rsidR="00A209D6" w:rsidRPr="006E13D1">
        <w:tab/>
      </w:r>
      <w:r w:rsidR="008C3057">
        <w:t>Conclusion</w:t>
      </w:r>
    </w:p>
    <w:p w14:paraId="6C60FFDC" w14:textId="789A65AF" w:rsidR="00340F83" w:rsidRDefault="00340F83" w:rsidP="00340F83">
      <w:r>
        <w:t>This paper provided our view regarding the FFS</w:t>
      </w:r>
      <w:r w:rsidR="00BB6E19">
        <w:t>s</w:t>
      </w:r>
      <w:r>
        <w:t xml:space="preserve"> and other details concerning Solution 2 [2] for SN-initiated CPC. The following observations and proposals have been made:</w:t>
      </w:r>
    </w:p>
    <w:p w14:paraId="6B54C862" w14:textId="77777777" w:rsidR="00BB6E19" w:rsidRPr="009862EB" w:rsidRDefault="00BB6E19" w:rsidP="00BB6E19">
      <w:pPr>
        <w:jc w:val="both"/>
        <w:rPr>
          <w:b/>
          <w:bCs/>
        </w:rPr>
      </w:pPr>
      <w:r w:rsidRPr="009862EB">
        <w:rPr>
          <w:b/>
          <w:bCs/>
        </w:rPr>
        <w:t>Proposal 1: RAN2 confirms the source SN configuration needs to be updated in EN-DC case when UE uses per FR measurement gap and is to be configured with CPC.</w:t>
      </w:r>
    </w:p>
    <w:p w14:paraId="21CCD548" w14:textId="030780C7" w:rsidR="00BB6E19" w:rsidRDefault="00BB6E19" w:rsidP="00BB6E19">
      <w:pPr>
        <w:jc w:val="both"/>
        <w:rPr>
          <w:b/>
          <w:bCs/>
        </w:rPr>
      </w:pPr>
      <w:r w:rsidRPr="00446D87">
        <w:rPr>
          <w:b/>
          <w:bCs/>
        </w:rPr>
        <w:t>Proposal 2: The source SN provides the execution conditions to the MN upon obtaining the information which cells have been ultimately prepared by the target SN.</w:t>
      </w:r>
    </w:p>
    <w:p w14:paraId="51E3F68F" w14:textId="068B308E" w:rsidR="00390517" w:rsidRPr="00446D87" w:rsidRDefault="00390517" w:rsidP="00BB6E19">
      <w:pPr>
        <w:jc w:val="both"/>
        <w:rPr>
          <w:b/>
          <w:bCs/>
        </w:rPr>
      </w:pPr>
      <w:r>
        <w:rPr>
          <w:b/>
          <w:bCs/>
        </w:rPr>
        <w:t xml:space="preserve">Observation 1: </w:t>
      </w:r>
      <w:r w:rsidR="00AC7B43">
        <w:rPr>
          <w:b/>
          <w:bCs/>
        </w:rPr>
        <w:t>There is no need for the network to update the measurement IDs if Solution 2 [2] is adopted, as the UE will receive the CPAC execution conditions only for the candidate cells that are prepared by target SN.</w:t>
      </w:r>
    </w:p>
    <w:p w14:paraId="2140B122" w14:textId="13EEEB74" w:rsidR="00BB6E19" w:rsidRDefault="00BB6E19" w:rsidP="00BB6E19">
      <w:pPr>
        <w:jc w:val="both"/>
        <w:rPr>
          <w:b/>
          <w:bCs/>
        </w:rPr>
      </w:pPr>
      <w:r w:rsidRPr="002B5430">
        <w:rPr>
          <w:b/>
          <w:bCs/>
        </w:rPr>
        <w:t xml:space="preserve">Observation </w:t>
      </w:r>
      <w:r w:rsidR="00390517">
        <w:rPr>
          <w:b/>
          <w:bCs/>
        </w:rPr>
        <w:t>2</w:t>
      </w:r>
      <w:r w:rsidRPr="002B5430">
        <w:rPr>
          <w:b/>
          <w:bCs/>
        </w:rPr>
        <w:t>: The target SN may consider more factors than just raw measurements (available at the source SN)</w:t>
      </w:r>
      <w:r>
        <w:rPr>
          <w:b/>
          <w:bCs/>
        </w:rPr>
        <w:t>,</w:t>
      </w:r>
      <w:r w:rsidRPr="002B5430">
        <w:rPr>
          <w:b/>
          <w:bCs/>
        </w:rPr>
        <w:t xml:space="preserve"> such as admission control, load information, etc.</w:t>
      </w:r>
      <w:r>
        <w:rPr>
          <w:b/>
          <w:bCs/>
        </w:rPr>
        <w:t xml:space="preserve"> </w:t>
      </w:r>
      <w:r w:rsidRPr="002B5430">
        <w:rPr>
          <w:b/>
          <w:bCs/>
        </w:rPr>
        <w:t>in selecting the final candidate target cells</w:t>
      </w:r>
      <w:r>
        <w:rPr>
          <w:b/>
          <w:bCs/>
        </w:rPr>
        <w:t>.</w:t>
      </w:r>
    </w:p>
    <w:p w14:paraId="68E2D16E" w14:textId="529EC98A" w:rsidR="002C0CB4" w:rsidRPr="002C0CB4" w:rsidRDefault="002C0CB4" w:rsidP="002C0CB4">
      <w:pPr>
        <w:jc w:val="both"/>
        <w:rPr>
          <w:b/>
          <w:bCs/>
        </w:rPr>
      </w:pPr>
      <w:r w:rsidRPr="002C0CB4">
        <w:rPr>
          <w:b/>
          <w:bCs/>
        </w:rPr>
        <w:lastRenderedPageBreak/>
        <w:t xml:space="preserve">Observation </w:t>
      </w:r>
      <w:r w:rsidR="00390517">
        <w:rPr>
          <w:b/>
          <w:bCs/>
        </w:rPr>
        <w:t>3</w:t>
      </w:r>
      <w:r w:rsidRPr="002C0CB4">
        <w:rPr>
          <w:b/>
          <w:bCs/>
        </w:rPr>
        <w:t xml:space="preserve">: Forcing the target SN to select from the list of suggested </w:t>
      </w:r>
      <w:proofErr w:type="spellStart"/>
      <w:r w:rsidRPr="002C0CB4">
        <w:rPr>
          <w:b/>
          <w:bCs/>
        </w:rPr>
        <w:t>PSCells</w:t>
      </w:r>
      <w:proofErr w:type="spellEnd"/>
      <w:r w:rsidRPr="002C0CB4">
        <w:rPr>
          <w:b/>
          <w:bCs/>
        </w:rPr>
        <w:t xml:space="preserve"> only may be especially problematic in inter-vendor deployment scenarios.</w:t>
      </w:r>
    </w:p>
    <w:p w14:paraId="057EB498" w14:textId="3B182342" w:rsidR="002C0CB4" w:rsidRPr="002B5430" w:rsidRDefault="00F50553" w:rsidP="00BB6E19">
      <w:pPr>
        <w:jc w:val="both"/>
        <w:rPr>
          <w:b/>
          <w:bCs/>
        </w:rPr>
      </w:pPr>
      <w:r w:rsidRPr="002C0CB4">
        <w:rPr>
          <w:b/>
          <w:bCs/>
        </w:rPr>
        <w:t xml:space="preserve">Observation </w:t>
      </w:r>
      <w:r>
        <w:rPr>
          <w:b/>
          <w:bCs/>
        </w:rPr>
        <w:t>4</w:t>
      </w:r>
      <w:r w:rsidRPr="002C0CB4">
        <w:rPr>
          <w:b/>
          <w:bCs/>
        </w:rPr>
        <w:t xml:space="preserve">: </w:t>
      </w:r>
      <w:r>
        <w:rPr>
          <w:b/>
          <w:bCs/>
        </w:rPr>
        <w:t xml:space="preserve">Forcing the target SN to select from the list of suggested </w:t>
      </w:r>
      <w:proofErr w:type="spellStart"/>
      <w:r>
        <w:rPr>
          <w:b/>
          <w:bCs/>
        </w:rPr>
        <w:t>PSCells</w:t>
      </w:r>
      <w:proofErr w:type="spellEnd"/>
      <w:r>
        <w:rPr>
          <w:b/>
          <w:bCs/>
        </w:rPr>
        <w:t xml:space="preserve"> is not optimal in intra-band contiguous spectrum deployment, where the UE might have been configured to measure just selected carriers</w:t>
      </w:r>
      <w:r w:rsidR="00896915">
        <w:rPr>
          <w:b/>
          <w:bCs/>
        </w:rPr>
        <w:t xml:space="preserve"> while other are relevant from the load perspective</w:t>
      </w:r>
      <w:r>
        <w:rPr>
          <w:b/>
          <w:bCs/>
        </w:rPr>
        <w:t>.</w:t>
      </w:r>
    </w:p>
    <w:p w14:paraId="03DE1BF0" w14:textId="77777777" w:rsidR="00BB6E19" w:rsidRPr="00DA13BE" w:rsidRDefault="00BB6E19" w:rsidP="00BB6E19">
      <w:pPr>
        <w:jc w:val="both"/>
        <w:rPr>
          <w:b/>
          <w:bCs/>
        </w:rPr>
      </w:pPr>
      <w:r w:rsidRPr="00340F83">
        <w:rPr>
          <w:b/>
          <w:bCs/>
        </w:rPr>
        <w:t xml:space="preserve">Proposal 3: Target SN is allowed to select any candidate target </w:t>
      </w:r>
      <w:proofErr w:type="spellStart"/>
      <w:r w:rsidRPr="00340F83">
        <w:rPr>
          <w:b/>
          <w:bCs/>
        </w:rPr>
        <w:t>PSCell</w:t>
      </w:r>
      <w:proofErr w:type="spellEnd"/>
      <w:r w:rsidRPr="00340F83">
        <w:rPr>
          <w:b/>
          <w:bCs/>
        </w:rPr>
        <w:t xml:space="preserve"> for CPC, i.e. is not forced to choose from the list of cells </w:t>
      </w:r>
      <w:r>
        <w:rPr>
          <w:b/>
          <w:bCs/>
        </w:rPr>
        <w:t>and/</w:t>
      </w:r>
      <w:r w:rsidRPr="00340F83">
        <w:rPr>
          <w:b/>
          <w:bCs/>
        </w:rPr>
        <w:t>or measurements provided by the source SN/MN</w:t>
      </w:r>
      <w:r>
        <w:rPr>
          <w:b/>
          <w:bCs/>
        </w:rPr>
        <w:t>.</w:t>
      </w:r>
    </w:p>
    <w:p w14:paraId="35F222F4" w14:textId="5FD59063" w:rsidR="00080512" w:rsidRPr="00BB6E19" w:rsidRDefault="00BB6E19" w:rsidP="00A209D6">
      <w:pPr>
        <w:rPr>
          <w:b/>
          <w:bCs/>
        </w:rPr>
      </w:pPr>
      <w:r w:rsidRPr="00BB6E19">
        <w:rPr>
          <w:b/>
          <w:bCs/>
        </w:rPr>
        <w:t xml:space="preserve">Observation </w:t>
      </w:r>
      <w:r w:rsidR="00F50553">
        <w:rPr>
          <w:b/>
          <w:bCs/>
        </w:rPr>
        <w:t>5</w:t>
      </w:r>
      <w:r w:rsidRPr="00BB6E19">
        <w:rPr>
          <w:b/>
          <w:bCs/>
        </w:rPr>
        <w:t xml:space="preserve">: Limiting the choice of the candidate target </w:t>
      </w:r>
      <w:proofErr w:type="spellStart"/>
      <w:r w:rsidRPr="00BB6E19">
        <w:rPr>
          <w:b/>
          <w:bCs/>
        </w:rPr>
        <w:t>PSCells</w:t>
      </w:r>
      <w:proofErr w:type="spellEnd"/>
      <w:r w:rsidRPr="00BB6E19">
        <w:rPr>
          <w:b/>
          <w:bCs/>
        </w:rPr>
        <w:t xml:space="preserve"> to</w:t>
      </w:r>
      <w:r w:rsidR="00896915">
        <w:rPr>
          <w:b/>
          <w:bCs/>
        </w:rPr>
        <w:t xml:space="preserve"> the</w:t>
      </w:r>
      <w:r w:rsidRPr="00BB6E19">
        <w:rPr>
          <w:b/>
          <w:bCs/>
        </w:rPr>
        <w:t xml:space="preserve"> list of cells provided by the source SN/MN partially precludes the use of blind inter-SN CPC and can be against the RAN2#113bis agreement.</w:t>
      </w:r>
    </w:p>
    <w:p w14:paraId="7E4737B4" w14:textId="2C12E475" w:rsidR="0024282A" w:rsidRDefault="0024282A">
      <w:pPr>
        <w:pStyle w:val="Heading1"/>
      </w:pPr>
      <w:r>
        <w:t>References</w:t>
      </w:r>
    </w:p>
    <w:p w14:paraId="6BD31991" w14:textId="35B4D2E0" w:rsidR="0024282A" w:rsidRDefault="0024282A" w:rsidP="000C6772">
      <w:r>
        <w:t>[1] R2-2104301</w:t>
      </w:r>
      <w:r w:rsidR="000C6772">
        <w:tab/>
      </w:r>
      <w:r w:rsidRPr="000C6772">
        <w:rPr>
          <w:i/>
          <w:iCs/>
        </w:rPr>
        <w:t>Report on LTE legacy, Mobility, DCCA, Multi-SIM and RAN slicing</w:t>
      </w:r>
      <w:r w:rsidR="000C6772">
        <w:t xml:space="preserve"> 3GPP TSG-RAN WG2 Meeting #113 bis electronic Online, April 12 – April 20, 2021</w:t>
      </w:r>
    </w:p>
    <w:p w14:paraId="7FB87EC8" w14:textId="2B2831D2" w:rsidR="000C6772" w:rsidRPr="0024282A" w:rsidRDefault="000C6772" w:rsidP="000C6772">
      <w:r>
        <w:t xml:space="preserve">[2] </w:t>
      </w:r>
      <w:r w:rsidRPr="000C6772">
        <w:t>R2-2103109</w:t>
      </w:r>
      <w:r>
        <w:tab/>
      </w:r>
      <w:r w:rsidRPr="000C6772">
        <w:rPr>
          <w:i/>
          <w:iCs/>
        </w:rPr>
        <w:t>Summary of [Post113-e][</w:t>
      </w:r>
      <w:proofErr w:type="gramStart"/>
      <w:r w:rsidRPr="000C6772">
        <w:rPr>
          <w:i/>
          <w:iCs/>
        </w:rPr>
        <w:t>234][</w:t>
      </w:r>
      <w:proofErr w:type="spellStart"/>
      <w:proofErr w:type="gramEnd"/>
      <w:r w:rsidRPr="000C6772">
        <w:rPr>
          <w:i/>
          <w:iCs/>
        </w:rPr>
        <w:t>eDCCA</w:t>
      </w:r>
      <w:proofErr w:type="spellEnd"/>
      <w:r w:rsidRPr="000C6772">
        <w:rPr>
          <w:i/>
          <w:iCs/>
        </w:rPr>
        <w:t>] CPAC procedures (CATT)</w:t>
      </w:r>
      <w:r>
        <w:t xml:space="preserve"> 3GPP TSG-RAN WG2 Meeting #113 bis electronic Online, April 12 – April 20, 2021</w:t>
      </w:r>
    </w:p>
    <w:sectPr w:rsidR="000C6772" w:rsidRPr="002428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FDB2C" w14:textId="77777777" w:rsidR="00902EEB" w:rsidRDefault="00902EEB">
      <w:r>
        <w:separator/>
      </w:r>
    </w:p>
  </w:endnote>
  <w:endnote w:type="continuationSeparator" w:id="0">
    <w:p w14:paraId="56FD3FB2" w14:textId="77777777" w:rsidR="00902EEB" w:rsidRDefault="00902EEB">
      <w:r>
        <w:continuationSeparator/>
      </w:r>
    </w:p>
  </w:endnote>
  <w:endnote w:type="continuationNotice" w:id="1">
    <w:p w14:paraId="1F2EA3B5" w14:textId="77777777" w:rsidR="00902EEB" w:rsidRDefault="00902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BE717" w14:textId="77777777" w:rsidR="00902EEB" w:rsidRDefault="00902EEB">
      <w:r>
        <w:separator/>
      </w:r>
    </w:p>
  </w:footnote>
  <w:footnote w:type="continuationSeparator" w:id="0">
    <w:p w14:paraId="4EED5D75" w14:textId="77777777" w:rsidR="00902EEB" w:rsidRDefault="00902EEB">
      <w:r>
        <w:continuationSeparator/>
      </w:r>
    </w:p>
  </w:footnote>
  <w:footnote w:type="continuationNotice" w:id="1">
    <w:p w14:paraId="135D021F" w14:textId="77777777" w:rsidR="00902EEB" w:rsidRDefault="00902E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6138C"/>
    <w:multiLevelType w:val="hybridMultilevel"/>
    <w:tmpl w:val="49F46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3D03677"/>
    <w:multiLevelType w:val="hybridMultilevel"/>
    <w:tmpl w:val="5ACA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2C"/>
    <w:rsid w:val="00001E43"/>
    <w:rsid w:val="00007286"/>
    <w:rsid w:val="00016557"/>
    <w:rsid w:val="00023C40"/>
    <w:rsid w:val="00033397"/>
    <w:rsid w:val="00040095"/>
    <w:rsid w:val="00065268"/>
    <w:rsid w:val="00073C9C"/>
    <w:rsid w:val="000753D1"/>
    <w:rsid w:val="00080512"/>
    <w:rsid w:val="00090468"/>
    <w:rsid w:val="00094568"/>
    <w:rsid w:val="000B7BCF"/>
    <w:rsid w:val="000C522B"/>
    <w:rsid w:val="000C6772"/>
    <w:rsid w:val="000C6A7F"/>
    <w:rsid w:val="000D58AB"/>
    <w:rsid w:val="00112F1A"/>
    <w:rsid w:val="00145075"/>
    <w:rsid w:val="001741A0"/>
    <w:rsid w:val="00175FA0"/>
    <w:rsid w:val="001919B7"/>
    <w:rsid w:val="00194CD0"/>
    <w:rsid w:val="001A0C67"/>
    <w:rsid w:val="001A7628"/>
    <w:rsid w:val="001B49C9"/>
    <w:rsid w:val="001C23F4"/>
    <w:rsid w:val="001C4F79"/>
    <w:rsid w:val="001D3ED9"/>
    <w:rsid w:val="001F168B"/>
    <w:rsid w:val="001F7831"/>
    <w:rsid w:val="00204045"/>
    <w:rsid w:val="00205052"/>
    <w:rsid w:val="00206BFB"/>
    <w:rsid w:val="0020712B"/>
    <w:rsid w:val="0022606D"/>
    <w:rsid w:val="00231728"/>
    <w:rsid w:val="0024282A"/>
    <w:rsid w:val="00244A05"/>
    <w:rsid w:val="00250404"/>
    <w:rsid w:val="002610D8"/>
    <w:rsid w:val="002747EC"/>
    <w:rsid w:val="00282ED9"/>
    <w:rsid w:val="002855BF"/>
    <w:rsid w:val="002B5430"/>
    <w:rsid w:val="002C0CB4"/>
    <w:rsid w:val="002C2927"/>
    <w:rsid w:val="002F0D22"/>
    <w:rsid w:val="00311B17"/>
    <w:rsid w:val="00315678"/>
    <w:rsid w:val="003172DC"/>
    <w:rsid w:val="00325AE3"/>
    <w:rsid w:val="00326069"/>
    <w:rsid w:val="00340F83"/>
    <w:rsid w:val="0035462D"/>
    <w:rsid w:val="00355F5A"/>
    <w:rsid w:val="0036459E"/>
    <w:rsid w:val="00364B41"/>
    <w:rsid w:val="00376668"/>
    <w:rsid w:val="00383096"/>
    <w:rsid w:val="00390517"/>
    <w:rsid w:val="0039346C"/>
    <w:rsid w:val="003949AE"/>
    <w:rsid w:val="003A41EF"/>
    <w:rsid w:val="003B40AD"/>
    <w:rsid w:val="003C4E37"/>
    <w:rsid w:val="003E16BE"/>
    <w:rsid w:val="003F4E28"/>
    <w:rsid w:val="003F5BE2"/>
    <w:rsid w:val="004006E8"/>
    <w:rsid w:val="00401855"/>
    <w:rsid w:val="00436865"/>
    <w:rsid w:val="00446D87"/>
    <w:rsid w:val="00465587"/>
    <w:rsid w:val="00477455"/>
    <w:rsid w:val="00496FA8"/>
    <w:rsid w:val="004A154C"/>
    <w:rsid w:val="004A1F7B"/>
    <w:rsid w:val="004B78B5"/>
    <w:rsid w:val="004C44D2"/>
    <w:rsid w:val="004D3578"/>
    <w:rsid w:val="004D380D"/>
    <w:rsid w:val="004E213A"/>
    <w:rsid w:val="004F2733"/>
    <w:rsid w:val="004F4540"/>
    <w:rsid w:val="004F73A7"/>
    <w:rsid w:val="00503171"/>
    <w:rsid w:val="00504BD8"/>
    <w:rsid w:val="00506C28"/>
    <w:rsid w:val="005139AA"/>
    <w:rsid w:val="00522421"/>
    <w:rsid w:val="00534DA0"/>
    <w:rsid w:val="00543E6C"/>
    <w:rsid w:val="00565087"/>
    <w:rsid w:val="0056573F"/>
    <w:rsid w:val="00571279"/>
    <w:rsid w:val="00571450"/>
    <w:rsid w:val="005A49C6"/>
    <w:rsid w:val="00611566"/>
    <w:rsid w:val="00631FF7"/>
    <w:rsid w:val="00635008"/>
    <w:rsid w:val="00646D99"/>
    <w:rsid w:val="00656910"/>
    <w:rsid w:val="006574C0"/>
    <w:rsid w:val="00696821"/>
    <w:rsid w:val="006B13BA"/>
    <w:rsid w:val="006C1A9B"/>
    <w:rsid w:val="006C3D35"/>
    <w:rsid w:val="006C66D8"/>
    <w:rsid w:val="006C6C6B"/>
    <w:rsid w:val="006D1E24"/>
    <w:rsid w:val="006D35DE"/>
    <w:rsid w:val="006E1057"/>
    <w:rsid w:val="006E1417"/>
    <w:rsid w:val="006F6A2C"/>
    <w:rsid w:val="00705A46"/>
    <w:rsid w:val="007069DC"/>
    <w:rsid w:val="00710201"/>
    <w:rsid w:val="0072073A"/>
    <w:rsid w:val="007342B5"/>
    <w:rsid w:val="00734A5B"/>
    <w:rsid w:val="00736DD6"/>
    <w:rsid w:val="00744E76"/>
    <w:rsid w:val="00757D40"/>
    <w:rsid w:val="007662B5"/>
    <w:rsid w:val="00781F0F"/>
    <w:rsid w:val="00782F39"/>
    <w:rsid w:val="0078727C"/>
    <w:rsid w:val="0079049D"/>
    <w:rsid w:val="00793DC5"/>
    <w:rsid w:val="00796823"/>
    <w:rsid w:val="007A2E55"/>
    <w:rsid w:val="007B18D8"/>
    <w:rsid w:val="007C095F"/>
    <w:rsid w:val="007C2DD0"/>
    <w:rsid w:val="007F2E08"/>
    <w:rsid w:val="008028A4"/>
    <w:rsid w:val="00813245"/>
    <w:rsid w:val="00840DE0"/>
    <w:rsid w:val="00844CE9"/>
    <w:rsid w:val="008607A8"/>
    <w:rsid w:val="0086354A"/>
    <w:rsid w:val="008768CA"/>
    <w:rsid w:val="00877EF9"/>
    <w:rsid w:val="00880559"/>
    <w:rsid w:val="00896915"/>
    <w:rsid w:val="008A1C2B"/>
    <w:rsid w:val="008B5306"/>
    <w:rsid w:val="008C2E2A"/>
    <w:rsid w:val="008C3057"/>
    <w:rsid w:val="008D1228"/>
    <w:rsid w:val="008D2E4D"/>
    <w:rsid w:val="008F396F"/>
    <w:rsid w:val="008F3DCD"/>
    <w:rsid w:val="0090271F"/>
    <w:rsid w:val="00902DB9"/>
    <w:rsid w:val="00902EEB"/>
    <w:rsid w:val="0090466A"/>
    <w:rsid w:val="00904AE7"/>
    <w:rsid w:val="00915EC9"/>
    <w:rsid w:val="00923655"/>
    <w:rsid w:val="00932389"/>
    <w:rsid w:val="00936071"/>
    <w:rsid w:val="009376CD"/>
    <w:rsid w:val="00940212"/>
    <w:rsid w:val="00942EC2"/>
    <w:rsid w:val="00961B32"/>
    <w:rsid w:val="00962509"/>
    <w:rsid w:val="00970DB3"/>
    <w:rsid w:val="00974BB0"/>
    <w:rsid w:val="00975BCD"/>
    <w:rsid w:val="009862EB"/>
    <w:rsid w:val="009928A9"/>
    <w:rsid w:val="009A0AF3"/>
    <w:rsid w:val="009A710B"/>
    <w:rsid w:val="009B07CD"/>
    <w:rsid w:val="009C19E9"/>
    <w:rsid w:val="009D74A6"/>
    <w:rsid w:val="009E0E87"/>
    <w:rsid w:val="009F377A"/>
    <w:rsid w:val="00A10F02"/>
    <w:rsid w:val="00A1229C"/>
    <w:rsid w:val="00A204CA"/>
    <w:rsid w:val="00A209D6"/>
    <w:rsid w:val="00A20EFA"/>
    <w:rsid w:val="00A22738"/>
    <w:rsid w:val="00A430EC"/>
    <w:rsid w:val="00A53724"/>
    <w:rsid w:val="00A54B2B"/>
    <w:rsid w:val="00A82346"/>
    <w:rsid w:val="00A90317"/>
    <w:rsid w:val="00A9671C"/>
    <w:rsid w:val="00AA1553"/>
    <w:rsid w:val="00AC7B43"/>
    <w:rsid w:val="00AD07A9"/>
    <w:rsid w:val="00B05380"/>
    <w:rsid w:val="00B05962"/>
    <w:rsid w:val="00B15449"/>
    <w:rsid w:val="00B16C2F"/>
    <w:rsid w:val="00B17536"/>
    <w:rsid w:val="00B27303"/>
    <w:rsid w:val="00B305E7"/>
    <w:rsid w:val="00B47FD1"/>
    <w:rsid w:val="00B516BB"/>
    <w:rsid w:val="00B7538C"/>
    <w:rsid w:val="00B84DB2"/>
    <w:rsid w:val="00B90E7A"/>
    <w:rsid w:val="00BB6E19"/>
    <w:rsid w:val="00BC2C42"/>
    <w:rsid w:val="00BC3555"/>
    <w:rsid w:val="00BD6943"/>
    <w:rsid w:val="00BF2F33"/>
    <w:rsid w:val="00C12B51"/>
    <w:rsid w:val="00C16D50"/>
    <w:rsid w:val="00C24650"/>
    <w:rsid w:val="00C25465"/>
    <w:rsid w:val="00C33079"/>
    <w:rsid w:val="00C34C4F"/>
    <w:rsid w:val="00C5365D"/>
    <w:rsid w:val="00C55A12"/>
    <w:rsid w:val="00C6553E"/>
    <w:rsid w:val="00C66E8B"/>
    <w:rsid w:val="00C83A13"/>
    <w:rsid w:val="00C86F10"/>
    <w:rsid w:val="00C9068C"/>
    <w:rsid w:val="00C92967"/>
    <w:rsid w:val="00CA3D0C"/>
    <w:rsid w:val="00CA654B"/>
    <w:rsid w:val="00CB72B8"/>
    <w:rsid w:val="00CC2D4A"/>
    <w:rsid w:val="00CD0BA8"/>
    <w:rsid w:val="00CD4C7B"/>
    <w:rsid w:val="00CD58FE"/>
    <w:rsid w:val="00CE71D8"/>
    <w:rsid w:val="00D17ED6"/>
    <w:rsid w:val="00D22CB9"/>
    <w:rsid w:val="00D312EC"/>
    <w:rsid w:val="00D33BE3"/>
    <w:rsid w:val="00D3792D"/>
    <w:rsid w:val="00D55E47"/>
    <w:rsid w:val="00D62E19"/>
    <w:rsid w:val="00D67CD1"/>
    <w:rsid w:val="00D738D6"/>
    <w:rsid w:val="00D80795"/>
    <w:rsid w:val="00D854BE"/>
    <w:rsid w:val="00D87E00"/>
    <w:rsid w:val="00D9134D"/>
    <w:rsid w:val="00D96D11"/>
    <w:rsid w:val="00DA13BE"/>
    <w:rsid w:val="00DA7A03"/>
    <w:rsid w:val="00DB0DB8"/>
    <w:rsid w:val="00DB1818"/>
    <w:rsid w:val="00DC309B"/>
    <w:rsid w:val="00DC4DA2"/>
    <w:rsid w:val="00DC5261"/>
    <w:rsid w:val="00DE25D2"/>
    <w:rsid w:val="00E3447D"/>
    <w:rsid w:val="00E46C08"/>
    <w:rsid w:val="00E471CF"/>
    <w:rsid w:val="00E62835"/>
    <w:rsid w:val="00E77645"/>
    <w:rsid w:val="00E83697"/>
    <w:rsid w:val="00E859B6"/>
    <w:rsid w:val="00EA124D"/>
    <w:rsid w:val="00EA66C9"/>
    <w:rsid w:val="00EC4A25"/>
    <w:rsid w:val="00ED6D83"/>
    <w:rsid w:val="00EF612C"/>
    <w:rsid w:val="00F025A2"/>
    <w:rsid w:val="00F036E9"/>
    <w:rsid w:val="00F07388"/>
    <w:rsid w:val="00F16DF0"/>
    <w:rsid w:val="00F2026E"/>
    <w:rsid w:val="00F2210A"/>
    <w:rsid w:val="00F31372"/>
    <w:rsid w:val="00F32A0A"/>
    <w:rsid w:val="00F37743"/>
    <w:rsid w:val="00F44B93"/>
    <w:rsid w:val="00F45183"/>
    <w:rsid w:val="00F50553"/>
    <w:rsid w:val="00F54A3D"/>
    <w:rsid w:val="00F54CB0"/>
    <w:rsid w:val="00F579CD"/>
    <w:rsid w:val="00F653B8"/>
    <w:rsid w:val="00F71B89"/>
    <w:rsid w:val="00F7353C"/>
    <w:rsid w:val="00F76F8F"/>
    <w:rsid w:val="00F941DF"/>
    <w:rsid w:val="00FA1266"/>
    <w:rsid w:val="00FA39A0"/>
    <w:rsid w:val="00FB36FA"/>
    <w:rsid w:val="00FC1192"/>
    <w:rsid w:val="00FD2CF6"/>
    <w:rsid w:val="00FE106D"/>
    <w:rsid w:val="00FE1E6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2D4A"/>
    <w:pPr>
      <w:ind w:left="720"/>
      <w:contextualSpacing/>
    </w:pPr>
  </w:style>
  <w:style w:type="character" w:styleId="CommentReference">
    <w:name w:val="annotation reference"/>
    <w:basedOn w:val="DefaultParagraphFont"/>
    <w:rsid w:val="00340F83"/>
    <w:rPr>
      <w:sz w:val="16"/>
      <w:szCs w:val="16"/>
    </w:rPr>
  </w:style>
  <w:style w:type="paragraph" w:styleId="CommentText">
    <w:name w:val="annotation text"/>
    <w:basedOn w:val="Normal"/>
    <w:link w:val="CommentTextChar"/>
    <w:rsid w:val="00340F83"/>
  </w:style>
  <w:style w:type="character" w:customStyle="1" w:styleId="CommentTextChar">
    <w:name w:val="Comment Text Char"/>
    <w:basedOn w:val="DefaultParagraphFont"/>
    <w:link w:val="CommentText"/>
    <w:rsid w:val="00340F83"/>
    <w:rPr>
      <w:lang w:eastAsia="en-US"/>
    </w:rPr>
  </w:style>
  <w:style w:type="paragraph" w:styleId="CommentSubject">
    <w:name w:val="annotation subject"/>
    <w:basedOn w:val="CommentText"/>
    <w:next w:val="CommentText"/>
    <w:link w:val="CommentSubjectChar"/>
    <w:rsid w:val="00340F83"/>
    <w:rPr>
      <w:b/>
      <w:bCs/>
    </w:rPr>
  </w:style>
  <w:style w:type="character" w:customStyle="1" w:styleId="CommentSubjectChar">
    <w:name w:val="Comment Subject Char"/>
    <w:basedOn w:val="CommentTextChar"/>
    <w:link w:val="CommentSubject"/>
    <w:rsid w:val="00340F83"/>
    <w:rPr>
      <w:b/>
      <w:bCs/>
      <w:lang w:eastAsia="en-US"/>
    </w:rPr>
  </w:style>
  <w:style w:type="paragraph" w:styleId="Caption">
    <w:name w:val="caption"/>
    <w:basedOn w:val="Normal"/>
    <w:next w:val="Normal"/>
    <w:unhideWhenUsed/>
    <w:qFormat/>
    <w:rsid w:val="0031567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5AIRPNAIUNRU-859666464-8813</_dlc_DocId>
    <_dlc_DocIdUrl xmlns="71c5aaf6-e6ce-465b-b873-5148d2a4c105">
      <Url>https://nokia.sharepoint.com/sites/c5g/e2earch/_layouts/15/DocIdRedir.aspx?ID=5AIRPNAIUNRU-859666464-8813</Url>
      <Description>5AIRPNAIUNRU-859666464-8813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7AC0FB-5DAF-4935-84C4-5D96F570DC57}">
  <ds:schemaRefs>
    <ds:schemaRef ds:uri="http://schemas.openxmlformats.org/officeDocument/2006/bibliography"/>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cp:revision>
  <dcterms:created xsi:type="dcterms:W3CDTF">2021-05-05T10:37:00Z</dcterms:created>
  <dcterms:modified xsi:type="dcterms:W3CDTF">2021-05-10T15:20:00Z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75dc178d-8e2f-4f7a-8312-de8078e175a4</vt:lpwstr>
  </property>
</Properties>
</file>